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61CA8" w14:textId="77777777" w:rsidR="00591D25" w:rsidRDefault="00591D25"/>
    <w:p w14:paraId="38262203" w14:textId="77777777" w:rsidR="00591D25" w:rsidRDefault="00000000">
      <w:pPr>
        <w:jc w:val="center"/>
        <w:rPr>
          <w:b/>
        </w:rPr>
      </w:pPr>
      <w:r>
        <w:t xml:space="preserve">Invitation - </w:t>
      </w:r>
      <w:r>
        <w:rPr>
          <w:b/>
        </w:rPr>
        <w:t xml:space="preserve">5ᵉ rencontre de la Table de concertation sur </w:t>
      </w:r>
    </w:p>
    <w:p w14:paraId="29F3A3C9" w14:textId="77777777" w:rsidR="00591D25" w:rsidRDefault="00000000">
      <w:pPr>
        <w:jc w:val="center"/>
        <w:rPr>
          <w:b/>
        </w:rPr>
      </w:pPr>
      <w:proofErr w:type="gramStart"/>
      <w:r>
        <w:rPr>
          <w:b/>
        </w:rPr>
        <w:t>la</w:t>
      </w:r>
      <w:proofErr w:type="gramEnd"/>
      <w:r>
        <w:rPr>
          <w:b/>
        </w:rPr>
        <w:t xml:space="preserve"> navigation durable au Saguenay (TCNDS)</w:t>
      </w:r>
    </w:p>
    <w:p w14:paraId="02DF0F92" w14:textId="77777777" w:rsidR="00591D25" w:rsidRDefault="00591D25"/>
    <w:p w14:paraId="4264F455" w14:textId="77777777" w:rsidR="00591D25" w:rsidRDefault="00000000">
      <w:r>
        <w:t xml:space="preserve">C’est avec enthousiasme que le Comité ZIP Saguenay-Charlevoix (ZIPSC) vous invite à la 5ᵉ rencontre de la </w:t>
      </w:r>
      <w:hyperlink r:id="rId7">
        <w:r>
          <w:rPr>
            <w:color w:val="0563C1"/>
            <w:u w:val="single"/>
          </w:rPr>
          <w:t>Table de concertation sur la navigation durable au Saguenay (TCNDS)</w:t>
        </w:r>
      </w:hyperlink>
      <w:r>
        <w:t xml:space="preserve">. </w:t>
      </w:r>
    </w:p>
    <w:p w14:paraId="35FE45BC" w14:textId="77777777" w:rsidR="00591D25" w:rsidRDefault="00591D25"/>
    <w:p w14:paraId="76C61A81" w14:textId="77777777" w:rsidR="00591D25" w:rsidRDefault="00000000">
      <w:pPr>
        <w:jc w:val="center"/>
        <w:rPr>
          <w:b/>
        </w:rPr>
      </w:pPr>
      <w:r>
        <w:rPr>
          <w:b/>
        </w:rPr>
        <w:t>Quand ? 2 octobre 2024, 9 h 00 à 15 h 30</w:t>
      </w:r>
    </w:p>
    <w:p w14:paraId="28F3C592" w14:textId="77777777" w:rsidR="00591D25" w:rsidRDefault="00000000">
      <w:pPr>
        <w:jc w:val="center"/>
        <w:rPr>
          <w:b/>
        </w:rPr>
      </w:pPr>
      <w:r>
        <w:rPr>
          <w:b/>
        </w:rPr>
        <w:t xml:space="preserve">Où ? Centre des congrès de l’hôtel Delta Saguenay, salle </w:t>
      </w:r>
      <w:proofErr w:type="spellStart"/>
      <w:r>
        <w:rPr>
          <w:b/>
        </w:rPr>
        <w:t>Chomina</w:t>
      </w:r>
      <w:proofErr w:type="spellEnd"/>
    </w:p>
    <w:p w14:paraId="2AEF2B83" w14:textId="77777777" w:rsidR="00591D25" w:rsidRDefault="00591D25">
      <w:pPr>
        <w:jc w:val="center"/>
      </w:pPr>
    </w:p>
    <w:p w14:paraId="34650048" w14:textId="77777777" w:rsidR="00591D25" w:rsidRDefault="00000000">
      <w:pPr>
        <w:jc w:val="center"/>
        <w:rPr>
          <w:b/>
        </w:rPr>
      </w:pPr>
      <w:hyperlink r:id="rId8">
        <w:r>
          <w:rPr>
            <w:b/>
            <w:color w:val="1155CC"/>
            <w:u w:val="single"/>
          </w:rPr>
          <w:t>INSCRIVEZ-VOUS</w:t>
        </w:r>
      </w:hyperlink>
    </w:p>
    <w:p w14:paraId="21C88CC5" w14:textId="77777777" w:rsidR="00591D25" w:rsidRDefault="00591D25">
      <w:pPr>
        <w:jc w:val="both"/>
      </w:pPr>
    </w:p>
    <w:p w14:paraId="25CD2767" w14:textId="77777777" w:rsidR="00591D25" w:rsidRDefault="00000000">
      <w:pPr>
        <w:jc w:val="both"/>
      </w:pPr>
      <w:r>
        <w:t>Que vous soyez membre actif depuis les débuts de la TCNDS ou que vous n’ayez participé à aucune des rencontres précédentes, vous recevez cette convocation, car nous croyons que votre participation représente une contribution essentielle à la démarche de concertation que nous avons entamée en 2022.</w:t>
      </w:r>
    </w:p>
    <w:p w14:paraId="4A6D58FC" w14:textId="77777777" w:rsidR="00591D25" w:rsidRDefault="00591D25">
      <w:pPr>
        <w:jc w:val="both"/>
      </w:pPr>
    </w:p>
    <w:p w14:paraId="5FFB88B9" w14:textId="77777777" w:rsidR="00591D25" w:rsidRDefault="00000000">
      <w:pPr>
        <w:jc w:val="center"/>
        <w:rPr>
          <w:b/>
        </w:rPr>
      </w:pPr>
      <w:r>
        <w:rPr>
          <w:b/>
        </w:rPr>
        <w:t>À quoi s’attendre ?</w:t>
      </w:r>
    </w:p>
    <w:p w14:paraId="4FB8FE7E" w14:textId="77777777" w:rsidR="00591D25" w:rsidRDefault="00591D25">
      <w:pPr>
        <w:jc w:val="both"/>
      </w:pPr>
    </w:p>
    <w:p w14:paraId="07080716" w14:textId="77777777" w:rsidR="00591D25" w:rsidRDefault="00000000">
      <w:pPr>
        <w:jc w:val="both"/>
      </w:pPr>
      <w:r>
        <w:t xml:space="preserve">Les foisonnantes discussions du printemps dernier ont permis au Comité ZIPSC de comptabiliser plus d’une cinquantaine d’actions, toutes formulées par les membres de la TCNDS. Le temps est venu de prioriser ces actions et de penser leur mise en œuvre, de façon à les asseoir dans un plan concret : une </w:t>
      </w:r>
      <w:r>
        <w:rPr>
          <w:i/>
        </w:rPr>
        <w:t>Stratégie de navigation durable pour le fjord du Saguenay – Vision 2030</w:t>
      </w:r>
      <w:r>
        <w:t xml:space="preserve">. </w:t>
      </w:r>
    </w:p>
    <w:p w14:paraId="5A048C44" w14:textId="77777777" w:rsidR="00591D25" w:rsidRDefault="00591D25">
      <w:pPr>
        <w:jc w:val="both"/>
      </w:pPr>
    </w:p>
    <w:p w14:paraId="7B85EC29" w14:textId="77777777" w:rsidR="00591D25" w:rsidRDefault="00000000">
      <w:pPr>
        <w:jc w:val="both"/>
      </w:pPr>
      <w:r>
        <w:t>Ce document d’importance orientera les membres de la TCNDS et sa coordination afin de mettre en place des changements dans le vaste champ de la navigation, que ce soit au niveau de la recherche, de la gouvernance, des infrastructures, ou bien en transfert de connaissances.</w:t>
      </w:r>
    </w:p>
    <w:p w14:paraId="5BC1CA78" w14:textId="77777777" w:rsidR="00591D25" w:rsidRDefault="00591D25">
      <w:pPr>
        <w:jc w:val="both"/>
      </w:pPr>
    </w:p>
    <w:p w14:paraId="348134E3" w14:textId="77777777" w:rsidR="00591D25" w:rsidRDefault="00000000">
      <w:pPr>
        <w:jc w:val="both"/>
      </w:pPr>
      <w:r>
        <w:t xml:space="preserve">Fidèles à nos habitudes, nous démarrerons la journée avec deux conférences finement choisies pour satisfaire la curiosité de nos membres. </w:t>
      </w:r>
    </w:p>
    <w:p w14:paraId="5BD6B364" w14:textId="77777777" w:rsidR="00591D25" w:rsidRDefault="00591D25"/>
    <w:p w14:paraId="56ACF5BE" w14:textId="77777777" w:rsidR="00591D25" w:rsidRDefault="00591D25"/>
    <w:p w14:paraId="445C61E0" w14:textId="77777777" w:rsidR="00591D25" w:rsidRDefault="00591D25"/>
    <w:p w14:paraId="27239EC6" w14:textId="77777777" w:rsidR="00591D25" w:rsidRDefault="00591D25"/>
    <w:p w14:paraId="1C8EE7F3" w14:textId="77777777" w:rsidR="00591D25" w:rsidRDefault="00591D25"/>
    <w:p w14:paraId="31651CD6" w14:textId="77777777" w:rsidR="00591D25" w:rsidRDefault="00591D25"/>
    <w:p w14:paraId="211A97D3" w14:textId="77777777" w:rsidR="00C502B3" w:rsidRPr="002D7AFD" w:rsidRDefault="00C502B3" w:rsidP="00C502B3">
      <w:pPr>
        <w:spacing w:line="256" w:lineRule="auto"/>
        <w:ind w:left="360"/>
        <w:jc w:val="center"/>
        <w:rPr>
          <w:rFonts w:eastAsia="EB Garamond" w:cs="EB Garamond"/>
          <w:b/>
        </w:rPr>
      </w:pPr>
      <w:r w:rsidRPr="002D7AFD">
        <w:rPr>
          <w:rFonts w:eastAsia="EB Garamond" w:cs="EB Garamond"/>
          <w:b/>
        </w:rPr>
        <w:lastRenderedPageBreak/>
        <w:t>Ordre du jour</w:t>
      </w:r>
    </w:p>
    <w:p w14:paraId="143F37C5" w14:textId="77777777" w:rsidR="00C502B3" w:rsidRPr="002D7AFD" w:rsidRDefault="00C502B3" w:rsidP="00C502B3">
      <w:pPr>
        <w:spacing w:line="256" w:lineRule="auto"/>
        <w:ind w:left="360"/>
        <w:rPr>
          <w:rFonts w:eastAsia="EB Garamond" w:cs="EB Garamond"/>
          <w:b/>
        </w:rPr>
      </w:pPr>
    </w:p>
    <w:p w14:paraId="584B4A4B" w14:textId="1FCEA62F" w:rsidR="00C502B3" w:rsidRPr="002D7AFD" w:rsidRDefault="00C502B3" w:rsidP="00C502B3">
      <w:pPr>
        <w:spacing w:line="256" w:lineRule="auto"/>
        <w:rPr>
          <w:rFonts w:eastAsia="EB Garamond" w:cs="EB Garamond"/>
        </w:rPr>
      </w:pPr>
    </w:p>
    <w:p w14:paraId="5B6E1542" w14:textId="77777777" w:rsidR="00C502B3" w:rsidRPr="002D7AFD" w:rsidRDefault="00C502B3" w:rsidP="00C502B3">
      <w:pPr>
        <w:spacing w:after="240" w:line="256" w:lineRule="auto"/>
        <w:jc w:val="both"/>
        <w:rPr>
          <w:rFonts w:eastAsia="EB Garamond" w:cs="EB Garamond"/>
        </w:rPr>
      </w:pPr>
      <w:r w:rsidRPr="002D7AFD">
        <w:rPr>
          <w:rFonts w:eastAsia="EB Garamond" w:cs="EB Garamond"/>
          <w:b/>
        </w:rPr>
        <w:t xml:space="preserve">9h00 </w:t>
      </w:r>
      <w:r w:rsidRPr="002D7AFD">
        <w:rPr>
          <w:rFonts w:eastAsia="EB Garamond" w:cs="EB Garamond"/>
        </w:rPr>
        <w:t xml:space="preserve">     </w:t>
      </w:r>
      <w:r w:rsidRPr="002D7AFD">
        <w:rPr>
          <w:rFonts w:eastAsia="EB Garamond" w:cs="EB Garamond"/>
        </w:rPr>
        <w:tab/>
        <w:t>Café, collations et causerie informelle</w:t>
      </w:r>
    </w:p>
    <w:p w14:paraId="2932620A" w14:textId="77777777" w:rsidR="00C502B3" w:rsidRPr="002D7AFD" w:rsidRDefault="00C502B3" w:rsidP="00C502B3">
      <w:pPr>
        <w:spacing w:after="240" w:line="256" w:lineRule="auto"/>
        <w:jc w:val="both"/>
        <w:rPr>
          <w:rFonts w:eastAsia="EB Garamond" w:cs="EB Garamond"/>
        </w:rPr>
      </w:pPr>
      <w:r w:rsidRPr="002D7AFD">
        <w:rPr>
          <w:rFonts w:eastAsia="EB Garamond" w:cs="EB Garamond"/>
          <w:b/>
        </w:rPr>
        <w:t xml:space="preserve">9h30  </w:t>
      </w:r>
      <w:r w:rsidRPr="002D7AFD">
        <w:rPr>
          <w:rFonts w:eastAsia="EB Garamond" w:cs="EB Garamond"/>
        </w:rPr>
        <w:t xml:space="preserve">    </w:t>
      </w:r>
      <w:r w:rsidRPr="002D7AFD">
        <w:rPr>
          <w:rFonts w:eastAsia="EB Garamond" w:cs="EB Garamond"/>
        </w:rPr>
        <w:tab/>
        <w:t>Mot de bienvenue</w:t>
      </w:r>
    </w:p>
    <w:p w14:paraId="0CE7E40A" w14:textId="77777777" w:rsidR="00C502B3" w:rsidRPr="002D7AFD" w:rsidRDefault="00C502B3" w:rsidP="00C502B3">
      <w:pPr>
        <w:spacing w:after="240" w:line="256" w:lineRule="auto"/>
        <w:ind w:left="1440" w:hanging="1440"/>
        <w:jc w:val="both"/>
        <w:rPr>
          <w:rFonts w:eastAsia="EB Garamond" w:cs="EB Garamond"/>
          <w:i/>
          <w:iCs/>
          <w:highlight w:val="white"/>
        </w:rPr>
      </w:pPr>
      <w:r w:rsidRPr="002D7AFD">
        <w:rPr>
          <w:rFonts w:eastAsia="EB Garamond" w:cs="EB Garamond"/>
          <w:b/>
        </w:rPr>
        <w:t>9h40</w:t>
      </w:r>
      <w:r w:rsidRPr="002D7AFD">
        <w:rPr>
          <w:rFonts w:eastAsia="EB Garamond" w:cs="EB Garamond"/>
        </w:rPr>
        <w:t xml:space="preserve"> </w:t>
      </w:r>
      <w:r w:rsidRPr="002D7AFD">
        <w:rPr>
          <w:rFonts w:eastAsia="EB Garamond" w:cs="EB Garamond"/>
        </w:rPr>
        <w:tab/>
        <w:t xml:space="preserve">Conférence et période de questions/réponses – Maude Boissonneault (Réseau Québec maritime) et </w:t>
      </w:r>
      <w:r>
        <w:rPr>
          <w:rFonts w:eastAsia="EB Garamond" w:cs="EB Garamond"/>
        </w:rPr>
        <w:t>Jasmine Therrien (chercheuse)</w:t>
      </w:r>
      <w:r w:rsidRPr="002D7AFD">
        <w:rPr>
          <w:rFonts w:eastAsia="EB Garamond" w:cs="EB Garamond"/>
        </w:rPr>
        <w:t xml:space="preserve">, </w:t>
      </w:r>
      <w:r w:rsidRPr="00475230">
        <w:rPr>
          <w:rFonts w:eastAsia="EB Garamond" w:cs="EB Garamond"/>
          <w:i/>
          <w:iCs/>
        </w:rPr>
        <w:t>Mission Horizon Glacé : Retour au cœur du Fjord en hiver</w:t>
      </w:r>
    </w:p>
    <w:p w14:paraId="37241545" w14:textId="77777777" w:rsidR="00C502B3" w:rsidRPr="002D7AFD" w:rsidRDefault="00C502B3" w:rsidP="00C502B3">
      <w:pPr>
        <w:spacing w:after="240" w:line="256" w:lineRule="auto"/>
        <w:ind w:left="1440" w:hanging="1440"/>
        <w:jc w:val="both"/>
        <w:rPr>
          <w:rFonts w:eastAsia="EB Garamond" w:cs="EB Garamond"/>
          <w:i/>
          <w:highlight w:val="white"/>
        </w:rPr>
      </w:pPr>
      <w:r w:rsidRPr="002D7AFD">
        <w:rPr>
          <w:rFonts w:eastAsia="EB Garamond" w:cs="EB Garamond"/>
          <w:b/>
        </w:rPr>
        <w:t>10h10</w:t>
      </w:r>
      <w:r w:rsidRPr="002D7AFD">
        <w:rPr>
          <w:rFonts w:eastAsia="EB Garamond" w:cs="EB Garamond"/>
          <w:b/>
        </w:rPr>
        <w:tab/>
      </w:r>
      <w:r w:rsidRPr="002D7AFD">
        <w:rPr>
          <w:rFonts w:eastAsia="EB Garamond" w:cs="EB Garamond"/>
        </w:rPr>
        <w:t xml:space="preserve">Conférence et période de questions/réponses – Valérie </w:t>
      </w:r>
      <w:proofErr w:type="spellStart"/>
      <w:r w:rsidRPr="002D7AFD">
        <w:rPr>
          <w:rFonts w:eastAsia="EB Garamond" w:cs="EB Garamond"/>
        </w:rPr>
        <w:t>Patry</w:t>
      </w:r>
      <w:proofErr w:type="spellEnd"/>
      <w:r w:rsidRPr="002D7AFD">
        <w:rPr>
          <w:rFonts w:eastAsia="EB Garamond" w:cs="EB Garamond"/>
        </w:rPr>
        <w:t xml:space="preserve">, conseillère en développement durable (Association des croisières du Saint-Laurent), </w:t>
      </w:r>
      <w:r w:rsidRPr="002D7AFD">
        <w:rPr>
          <w:rFonts w:eastAsia="EB Garamond" w:cs="EB Garamond"/>
          <w:i/>
          <w:iCs/>
        </w:rPr>
        <w:t>Stratégie de développement durable de l’ACSL</w:t>
      </w:r>
    </w:p>
    <w:p w14:paraId="7E50D666" w14:textId="77777777" w:rsidR="00C502B3" w:rsidRPr="002D7AFD" w:rsidRDefault="00C502B3" w:rsidP="00C502B3">
      <w:pPr>
        <w:spacing w:after="240" w:line="256" w:lineRule="auto"/>
        <w:jc w:val="both"/>
        <w:rPr>
          <w:rFonts w:eastAsia="EB Garamond" w:cs="EB Garamond"/>
          <w:b/>
        </w:rPr>
      </w:pPr>
      <w:r w:rsidRPr="002D7AFD">
        <w:rPr>
          <w:rFonts w:eastAsia="EB Garamond" w:cs="EB Garamond"/>
          <w:b/>
        </w:rPr>
        <w:t xml:space="preserve">10h40  </w:t>
      </w:r>
      <w:r w:rsidRPr="002D7AFD">
        <w:rPr>
          <w:rFonts w:eastAsia="EB Garamond" w:cs="EB Garamond"/>
        </w:rPr>
        <w:t xml:space="preserve"> </w:t>
      </w:r>
      <w:r w:rsidRPr="002D7AFD">
        <w:rPr>
          <w:rFonts w:eastAsia="EB Garamond" w:cs="EB Garamond"/>
        </w:rPr>
        <w:tab/>
      </w:r>
      <w:r w:rsidRPr="002D7AFD">
        <w:rPr>
          <w:rFonts w:eastAsia="EB Garamond" w:cs="EB Garamond"/>
          <w:b/>
        </w:rPr>
        <w:t>Pause</w:t>
      </w:r>
    </w:p>
    <w:p w14:paraId="7E3DFB31" w14:textId="77777777" w:rsidR="00C502B3" w:rsidRPr="002D7AFD" w:rsidRDefault="00C502B3" w:rsidP="00C502B3">
      <w:pPr>
        <w:spacing w:after="240" w:line="256" w:lineRule="auto"/>
        <w:jc w:val="both"/>
        <w:rPr>
          <w:rFonts w:eastAsia="EB Garamond" w:cs="EB Garamond"/>
        </w:rPr>
      </w:pPr>
      <w:r w:rsidRPr="002D7AFD">
        <w:rPr>
          <w:rFonts w:eastAsia="EB Garamond" w:cs="EB Garamond"/>
          <w:b/>
        </w:rPr>
        <w:t xml:space="preserve">10h50   </w:t>
      </w:r>
      <w:r w:rsidRPr="002D7AFD">
        <w:rPr>
          <w:rFonts w:eastAsia="EB Garamond" w:cs="EB Garamond"/>
        </w:rPr>
        <w:t xml:space="preserve"> </w:t>
      </w:r>
      <w:r w:rsidRPr="002D7AFD">
        <w:rPr>
          <w:rFonts w:eastAsia="EB Garamond" w:cs="EB Garamond"/>
        </w:rPr>
        <w:tab/>
        <w:t xml:space="preserve">Présentation des ajouts et modifications aux règles de fonctionnement </w:t>
      </w:r>
    </w:p>
    <w:p w14:paraId="2ADA7579" w14:textId="77777777" w:rsidR="00C502B3" w:rsidRPr="002D7AFD" w:rsidRDefault="00C502B3" w:rsidP="00C502B3">
      <w:pPr>
        <w:spacing w:after="240" w:line="256" w:lineRule="auto"/>
        <w:jc w:val="both"/>
        <w:rPr>
          <w:rFonts w:eastAsia="EB Garamond" w:cs="EB Garamond"/>
          <w:b/>
        </w:rPr>
      </w:pPr>
      <w:r w:rsidRPr="002D7AFD">
        <w:rPr>
          <w:rFonts w:eastAsia="EB Garamond" w:cs="EB Garamond"/>
          <w:b/>
        </w:rPr>
        <w:t xml:space="preserve">12h00  </w:t>
      </w:r>
      <w:r w:rsidRPr="002D7AFD">
        <w:rPr>
          <w:rFonts w:eastAsia="EB Garamond" w:cs="EB Garamond"/>
        </w:rPr>
        <w:t xml:space="preserve">  </w:t>
      </w:r>
      <w:r w:rsidRPr="002D7AFD">
        <w:rPr>
          <w:rFonts w:eastAsia="EB Garamond" w:cs="EB Garamond"/>
        </w:rPr>
        <w:tab/>
      </w:r>
      <w:r w:rsidRPr="002D7AFD">
        <w:rPr>
          <w:rFonts w:eastAsia="EB Garamond" w:cs="EB Garamond"/>
          <w:b/>
        </w:rPr>
        <w:t>Dîner</w:t>
      </w:r>
    </w:p>
    <w:p w14:paraId="19D96160" w14:textId="77777777" w:rsidR="00C502B3" w:rsidRPr="002D7AFD" w:rsidRDefault="00C502B3" w:rsidP="00C502B3">
      <w:pPr>
        <w:spacing w:after="240" w:line="256" w:lineRule="auto"/>
        <w:jc w:val="both"/>
        <w:rPr>
          <w:rFonts w:eastAsia="EB Garamond" w:cs="EB Garamond"/>
        </w:rPr>
      </w:pPr>
      <w:r w:rsidRPr="002D7AFD">
        <w:rPr>
          <w:rFonts w:eastAsia="EB Garamond" w:cs="EB Garamond"/>
          <w:b/>
        </w:rPr>
        <w:t>13h</w:t>
      </w:r>
      <w:r>
        <w:rPr>
          <w:rFonts w:eastAsia="EB Garamond" w:cs="EB Garamond"/>
          <w:b/>
        </w:rPr>
        <w:t>15</w:t>
      </w:r>
      <w:r w:rsidRPr="002D7AFD">
        <w:rPr>
          <w:rFonts w:eastAsia="EB Garamond" w:cs="EB Garamond"/>
        </w:rPr>
        <w:tab/>
      </w:r>
      <w:r w:rsidRPr="002D7AFD">
        <w:rPr>
          <w:rFonts w:eastAsia="EB Garamond" w:cs="EB Garamond"/>
        </w:rPr>
        <w:tab/>
        <w:t>Élection du Comité organisateur de la TCNDS</w:t>
      </w:r>
    </w:p>
    <w:p w14:paraId="43795F1D" w14:textId="77777777" w:rsidR="00C502B3" w:rsidRPr="002D7AFD" w:rsidRDefault="00C502B3" w:rsidP="00C502B3">
      <w:pPr>
        <w:spacing w:after="240" w:line="256" w:lineRule="auto"/>
        <w:ind w:left="1440" w:hanging="1440"/>
        <w:jc w:val="both"/>
        <w:rPr>
          <w:rFonts w:eastAsia="EB Garamond" w:cs="EB Garamond"/>
        </w:rPr>
      </w:pPr>
      <w:r w:rsidRPr="002D7AFD">
        <w:rPr>
          <w:rFonts w:eastAsia="EB Garamond" w:cs="EB Garamond"/>
          <w:b/>
          <w:bCs/>
        </w:rPr>
        <w:t>13h</w:t>
      </w:r>
      <w:r>
        <w:rPr>
          <w:rFonts w:eastAsia="EB Garamond" w:cs="EB Garamond"/>
          <w:b/>
          <w:bCs/>
        </w:rPr>
        <w:t>30</w:t>
      </w:r>
      <w:r w:rsidRPr="002D7AFD">
        <w:rPr>
          <w:rFonts w:eastAsia="EB Garamond" w:cs="EB Garamond"/>
          <w:b/>
          <w:bCs/>
        </w:rPr>
        <w:tab/>
      </w:r>
      <w:r w:rsidRPr="002D7AFD">
        <w:rPr>
          <w:rFonts w:eastAsia="EB Garamond" w:cs="EB Garamond"/>
        </w:rPr>
        <w:t xml:space="preserve">Atelier – Priorisation des actions de la </w:t>
      </w:r>
      <w:r w:rsidRPr="002D7AFD">
        <w:rPr>
          <w:rFonts w:eastAsia="EB Garamond" w:cs="EB Garamond"/>
          <w:i/>
          <w:iCs/>
        </w:rPr>
        <w:t xml:space="preserve">Stratégie de navigation durable </w:t>
      </w:r>
    </w:p>
    <w:p w14:paraId="2242C111" w14:textId="77777777" w:rsidR="00C502B3" w:rsidRPr="002D7AFD" w:rsidRDefault="00C502B3" w:rsidP="00C502B3">
      <w:pPr>
        <w:spacing w:after="240" w:line="256" w:lineRule="auto"/>
        <w:jc w:val="both"/>
        <w:rPr>
          <w:rFonts w:eastAsia="EB Garamond" w:cs="EB Garamond"/>
        </w:rPr>
      </w:pPr>
      <w:r w:rsidRPr="002D7AFD">
        <w:rPr>
          <w:rFonts w:eastAsia="EB Garamond" w:cs="EB Garamond"/>
          <w:b/>
        </w:rPr>
        <w:t xml:space="preserve">15h10   </w:t>
      </w:r>
      <w:r w:rsidRPr="002D7AFD">
        <w:rPr>
          <w:rFonts w:eastAsia="EB Garamond" w:cs="EB Garamond"/>
        </w:rPr>
        <w:t xml:space="preserve"> </w:t>
      </w:r>
      <w:r w:rsidRPr="002D7AFD">
        <w:rPr>
          <w:rFonts w:eastAsia="EB Garamond" w:cs="EB Garamond"/>
        </w:rPr>
        <w:tab/>
        <w:t>Rétroaction sur les ateliers et conclusion</w:t>
      </w:r>
    </w:p>
    <w:p w14:paraId="6376B032" w14:textId="77777777" w:rsidR="00591D25" w:rsidRDefault="00591D25"/>
    <w:sectPr w:rsidR="00591D25">
      <w:headerReference w:type="default" r:id="rId9"/>
      <w:headerReference w:type="first" r:id="rId10"/>
      <w:footerReference w:type="first" r:id="rId11"/>
      <w:pgSz w:w="12240" w:h="15840"/>
      <w:pgMar w:top="1440" w:right="1800" w:bottom="1440"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083BA" w14:textId="77777777" w:rsidR="00EB64B1" w:rsidRDefault="00EB64B1">
      <w:r>
        <w:separator/>
      </w:r>
    </w:p>
  </w:endnote>
  <w:endnote w:type="continuationSeparator" w:id="0">
    <w:p w14:paraId="3508E78F" w14:textId="77777777" w:rsidR="00EB64B1" w:rsidRDefault="00EB6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embedRegular r:id="rId1" w:fontKey="{80F6F2A8-9597-384D-A1B9-CC3487AE0E3E}"/>
    <w:embedBold r:id="rId2" w:fontKey="{2D7FC5E0-3600-AB43-B11B-F6E902EBFA5A}"/>
    <w:embedItalic r:id="rId3" w:fontKey="{E900F62A-5BE0-154E-9CF0-5DD5B766619A}"/>
  </w:font>
  <w:font w:name="Calibri Light">
    <w:panose1 w:val="020F0302020204030204"/>
    <w:charset w:val="00"/>
    <w:family w:val="swiss"/>
    <w:pitch w:val="variable"/>
    <w:sig w:usb0="E0002AFF" w:usb1="C000247B" w:usb2="00000009" w:usb3="00000000" w:csb0="000001FF" w:csb1="00000000"/>
    <w:embedRegular r:id="rId4" w:fontKey="{F07225A9-875C-FA49-B608-92F2DB3C9F7F}"/>
  </w:font>
  <w:font w:name="Times New Roman">
    <w:panose1 w:val="02020603050405020304"/>
    <w:charset w:val="00"/>
    <w:family w:val="roman"/>
    <w:pitch w:val="variable"/>
    <w:sig w:usb0="E0002EFF" w:usb1="C000785B" w:usb2="00000009" w:usb3="00000000" w:csb0="000001FF" w:csb1="00000000"/>
    <w:embedRegular r:id="rId5" w:fontKey="{5884357B-4BB8-3A43-8B38-7B877A8C6942}"/>
    <w:embedBold r:id="rId6" w:fontKey="{898DA733-6A41-4243-9329-2A9838CAB563}"/>
    <w:embedItalic r:id="rId7" w:fontKey="{D9ED34EA-4618-6E44-9A0C-B0630BB25EF7}"/>
  </w:font>
  <w:font w:name="EB Garamond">
    <w:panose1 w:val="00000500000000000000"/>
    <w:charset w:val="00"/>
    <w:family w:val="auto"/>
    <w:pitch w:val="variable"/>
    <w:sig w:usb0="E00002FF" w:usb1="02000413" w:usb2="00000000" w:usb3="00000000" w:csb0="0000019F" w:csb1="00000000"/>
    <w:embedRegular r:id="rId8" w:fontKey="{24E278A1-1F9A-4D4B-ABC8-3CC4E2962656}"/>
    <w:embedBold r:id="rId9" w:fontKey="{32D1A94F-A656-374C-9031-E3782D870027}"/>
    <w:embedItalic r:id="rId10" w:fontKey="{0A393C71-AAD9-4C40-8D8F-673C0B820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BB6B5" w14:textId="77777777" w:rsidR="00591D25" w:rsidRDefault="00591D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1E273" w14:textId="77777777" w:rsidR="00EB64B1" w:rsidRDefault="00EB64B1">
      <w:r>
        <w:separator/>
      </w:r>
    </w:p>
  </w:footnote>
  <w:footnote w:type="continuationSeparator" w:id="0">
    <w:p w14:paraId="7C34DEAF" w14:textId="77777777" w:rsidR="00EB64B1" w:rsidRDefault="00EB6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B3E26" w14:textId="77777777" w:rsidR="00591D25" w:rsidRDefault="00591D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A2DB3" w14:textId="77777777" w:rsidR="00591D25" w:rsidRDefault="00000000">
    <w:pPr>
      <w:ind w:left="-566"/>
    </w:pPr>
    <w:r>
      <w:rPr>
        <w:noProof/>
      </w:rPr>
      <w:drawing>
        <wp:inline distT="114300" distB="114300" distL="114300" distR="114300" wp14:anchorId="4587FFB6" wp14:editId="0D69D518">
          <wp:extent cx="6145530" cy="153638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45530" cy="153638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D25"/>
    <w:rsid w:val="00591D25"/>
    <w:rsid w:val="00C502B3"/>
    <w:rsid w:val="00D81E5C"/>
    <w:rsid w:val="00EB64B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6F2899C6"/>
  <w15:docId w15:val="{96A18AF8-9F85-4E4F-876A-91B57476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61A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D61A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61AC7"/>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61AC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61AC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61AC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61AC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61AC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61AC7"/>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D61AC7"/>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D61AC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D61AC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61AC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61AC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61AC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61AC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61AC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61AC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61AC7"/>
    <w:rPr>
      <w:rFonts w:eastAsiaTheme="majorEastAsia" w:cstheme="majorBidi"/>
      <w:color w:val="272727" w:themeColor="text1" w:themeTint="D8"/>
    </w:rPr>
  </w:style>
  <w:style w:type="character" w:customStyle="1" w:styleId="TitreCar">
    <w:name w:val="Titre Car"/>
    <w:basedOn w:val="Policepardfaut"/>
    <w:link w:val="Titre"/>
    <w:uiPriority w:val="10"/>
    <w:rsid w:val="00D61AC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D61AC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61AC7"/>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D61AC7"/>
    <w:rPr>
      <w:i/>
      <w:iCs/>
      <w:color w:val="404040" w:themeColor="text1" w:themeTint="BF"/>
    </w:rPr>
  </w:style>
  <w:style w:type="paragraph" w:styleId="Paragraphedeliste">
    <w:name w:val="List Paragraph"/>
    <w:basedOn w:val="Normal"/>
    <w:uiPriority w:val="34"/>
    <w:qFormat/>
    <w:rsid w:val="00D61AC7"/>
    <w:pPr>
      <w:ind w:left="720"/>
      <w:contextualSpacing/>
    </w:pPr>
  </w:style>
  <w:style w:type="character" w:styleId="Accentuationintense">
    <w:name w:val="Intense Emphasis"/>
    <w:basedOn w:val="Policepardfaut"/>
    <w:uiPriority w:val="21"/>
    <w:qFormat/>
    <w:rsid w:val="00D61AC7"/>
    <w:rPr>
      <w:i/>
      <w:iCs/>
      <w:color w:val="2F5496" w:themeColor="accent1" w:themeShade="BF"/>
    </w:rPr>
  </w:style>
  <w:style w:type="paragraph" w:styleId="Citationintense">
    <w:name w:val="Intense Quote"/>
    <w:basedOn w:val="Normal"/>
    <w:next w:val="Normal"/>
    <w:link w:val="CitationintenseCar"/>
    <w:uiPriority w:val="30"/>
    <w:qFormat/>
    <w:rsid w:val="00D61A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61AC7"/>
    <w:rPr>
      <w:i/>
      <w:iCs/>
      <w:color w:val="2F5496" w:themeColor="accent1" w:themeShade="BF"/>
    </w:rPr>
  </w:style>
  <w:style w:type="character" w:styleId="Rfrenceintense">
    <w:name w:val="Intense Reference"/>
    <w:basedOn w:val="Policepardfaut"/>
    <w:uiPriority w:val="32"/>
    <w:qFormat/>
    <w:rsid w:val="00D61AC7"/>
    <w:rPr>
      <w:b/>
      <w:bCs/>
      <w:smallCaps/>
      <w:color w:val="2F5496" w:themeColor="accent1" w:themeShade="BF"/>
      <w:spacing w:val="5"/>
    </w:rPr>
  </w:style>
  <w:style w:type="character" w:styleId="Hyperlien">
    <w:name w:val="Hyperlink"/>
    <w:basedOn w:val="Policepardfaut"/>
    <w:uiPriority w:val="99"/>
    <w:unhideWhenUsed/>
    <w:rsid w:val="001E0E12"/>
    <w:rPr>
      <w:color w:val="0563C1" w:themeColor="hyperlink"/>
      <w:u w:val="single"/>
    </w:rPr>
  </w:style>
  <w:style w:type="character" w:styleId="Mentionnonrsolue">
    <w:name w:val="Unresolved Mention"/>
    <w:basedOn w:val="Policepardfaut"/>
    <w:uiPriority w:val="99"/>
    <w:semiHidden/>
    <w:unhideWhenUsed/>
    <w:rsid w:val="001E0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orms.gle/DG5tGD1X4f8NFbC5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ipsaguenaycharlevoix.ca/navigation-durabl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rX6uzZD6Yw0VFzkmtfKQYhSyqw==">CgMxLjA4AHIhMUhLNC1rZldwU0FzajlEYktkb3F1ejQ0RTNSeDAzZ0NM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372</Words>
  <Characters>2049</Characters>
  <Application>Microsoft Office Word</Application>
  <DocSecurity>0</DocSecurity>
  <Lines>17</Lines>
  <Paragraphs>4</Paragraphs>
  <ScaleCrop>false</ScaleCrop>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2024-08-14T17:07:00Z</dcterms:created>
  <dcterms:modified xsi:type="dcterms:W3CDTF">2024-09-18T16:06:00Z</dcterms:modified>
</cp:coreProperties>
</file>